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DE7B" w14:textId="6C54503A" w:rsidR="008944D2" w:rsidRPr="00C64572" w:rsidRDefault="009B0CAB" w:rsidP="009B0CAB">
      <w:pPr>
        <w:pStyle w:val="Body"/>
        <w:jc w:val="center"/>
        <w:rPr>
          <w:b/>
          <w:color w:val="C00000"/>
          <w:sz w:val="32"/>
          <w:szCs w:val="32"/>
        </w:rPr>
      </w:pPr>
      <w:r w:rsidRPr="00C64572">
        <w:rPr>
          <w:b/>
          <w:color w:val="C00000"/>
          <w:sz w:val="32"/>
          <w:szCs w:val="32"/>
        </w:rPr>
        <w:t xml:space="preserve">Thomas Tunnock Limited </w:t>
      </w:r>
      <w:r w:rsidR="0032297E" w:rsidRPr="00C64572">
        <w:rPr>
          <w:b/>
          <w:color w:val="C00000"/>
          <w:sz w:val="32"/>
          <w:szCs w:val="32"/>
        </w:rPr>
        <w:t>– Gender Pay Gap Report for 20</w:t>
      </w:r>
      <w:r w:rsidR="001371BA" w:rsidRPr="00C64572">
        <w:rPr>
          <w:b/>
          <w:color w:val="C00000"/>
          <w:sz w:val="32"/>
          <w:szCs w:val="32"/>
        </w:rPr>
        <w:t>20</w:t>
      </w:r>
    </w:p>
    <w:p w14:paraId="15DEF68B" w14:textId="77777777" w:rsidR="009B0CAB" w:rsidRPr="00C64572" w:rsidRDefault="009B0CAB" w:rsidP="009B0CAB">
      <w:pPr>
        <w:pStyle w:val="Body"/>
        <w:jc w:val="left"/>
        <w:rPr>
          <w:b/>
          <w:color w:val="C00000"/>
        </w:rPr>
      </w:pPr>
      <w:r w:rsidRPr="00C64572">
        <w:rPr>
          <w:b/>
          <w:color w:val="C00000"/>
        </w:rPr>
        <w:t>Understanding the gender pay gap</w:t>
      </w:r>
    </w:p>
    <w:p w14:paraId="25A4EE84" w14:textId="77777777" w:rsidR="009B0CAB" w:rsidRPr="00C64572" w:rsidRDefault="009B0CAB" w:rsidP="009B0CAB">
      <w:pPr>
        <w:pStyle w:val="Body"/>
      </w:pPr>
      <w:r w:rsidRPr="00C64572">
        <w:t>Gender Pay is not the same as equal pay.  The gender pay gap is the difference in the pay of men or women across the whole of the Company.  The calculation therefore takes into account all jobs at all levels and salaries.  It is not about men and women doing the same job but being paid differently.</w:t>
      </w:r>
      <w:r w:rsidR="003D1C74" w:rsidRPr="00C64572">
        <w:t xml:space="preserve">  Irrespective of gender, our staff are paid the same pay for carrying out the same role and we are confident that we do not have an equal pay issue.</w:t>
      </w:r>
    </w:p>
    <w:p w14:paraId="72DB0409" w14:textId="41515F2E" w:rsidR="001371BA" w:rsidRPr="00C64572" w:rsidRDefault="001371BA" w:rsidP="00361CE8">
      <w:pPr>
        <w:pStyle w:val="Body"/>
      </w:pPr>
      <w:r w:rsidRPr="00C64572">
        <w:t xml:space="preserve">Gender pay information is taken as at a snapshot date – in this case 6 April 2020.  In April 2020, we faced unprecedented challenges with the COVID pandemic.  The factory was closed and 565 out of 619 of our employees were on furlough under the Coronavirus Job Retention Scheme.  As a result of these circumstances, the data which we have used for reporting purposes is not representative of a usual year as the pay for the vast majority of our workforce was not included in the pay gap </w:t>
      </w:r>
      <w:r w:rsidR="00F37676" w:rsidRPr="00C64572">
        <w:t>and quartile band calculations</w:t>
      </w:r>
      <w:r w:rsidRPr="00C64572">
        <w:t>.</w:t>
      </w:r>
    </w:p>
    <w:p w14:paraId="435F0463" w14:textId="64A669B2" w:rsidR="00296EA4" w:rsidRPr="00C64572" w:rsidRDefault="009B0CAB" w:rsidP="00361CE8">
      <w:pPr>
        <w:pStyle w:val="Body"/>
      </w:pPr>
      <w:r w:rsidRPr="00C64572">
        <w:t xml:space="preserve">The predominant reason for </w:t>
      </w:r>
      <w:proofErr w:type="spellStart"/>
      <w:r w:rsidR="00296EA4" w:rsidRPr="00C64572">
        <w:t>Tunnock</w:t>
      </w:r>
      <w:r w:rsidRPr="00C64572">
        <w:t>’s</w:t>
      </w:r>
      <w:proofErr w:type="spellEnd"/>
      <w:r w:rsidRPr="00C64572">
        <w:t xml:space="preserve"> pay and bonus gaps is </w:t>
      </w:r>
      <w:r w:rsidR="003D1C74" w:rsidRPr="00C64572">
        <w:t>that there are fewer</w:t>
      </w:r>
      <w:r w:rsidRPr="00C64572">
        <w:t xml:space="preserve"> women in the mo</w:t>
      </w:r>
      <w:r w:rsidR="001371BA" w:rsidRPr="00C64572">
        <w:t>st</w:t>
      </w:r>
      <w:r w:rsidRPr="00C64572">
        <w:t xml:space="preserve"> senior </w:t>
      </w:r>
      <w:r w:rsidR="008455DD" w:rsidRPr="00C64572">
        <w:t xml:space="preserve">of our </w:t>
      </w:r>
      <w:r w:rsidRPr="00C64572">
        <w:t>roles (</w:t>
      </w:r>
      <w:r w:rsidR="00F37676" w:rsidRPr="00C64572">
        <w:t>21.43</w:t>
      </w:r>
      <w:r w:rsidRPr="00C64572">
        <w:t xml:space="preserve">% female as compared with </w:t>
      </w:r>
      <w:r w:rsidR="00F37676" w:rsidRPr="00C64572">
        <w:t>78.57</w:t>
      </w:r>
      <w:r w:rsidR="00681DD7" w:rsidRPr="00C64572">
        <w:t>% in the</w:t>
      </w:r>
      <w:r w:rsidRPr="00C64572">
        <w:t xml:space="preserve"> upper quartile). </w:t>
      </w:r>
      <w:r w:rsidR="00BB3F50" w:rsidRPr="00C64572">
        <w:t>T</w:t>
      </w:r>
      <w:r w:rsidRPr="00C64572">
        <w:t>he percentage of the female population receiving a bonus (</w:t>
      </w:r>
      <w:r w:rsidR="001371BA" w:rsidRPr="00C64572">
        <w:t>6.07</w:t>
      </w:r>
      <w:r w:rsidRPr="00C64572">
        <w:t xml:space="preserve">%) is </w:t>
      </w:r>
      <w:r w:rsidR="004C690A" w:rsidRPr="00C64572">
        <w:t xml:space="preserve">marginally </w:t>
      </w:r>
      <w:r w:rsidR="001371BA" w:rsidRPr="00C64572">
        <w:t>higher</w:t>
      </w:r>
      <w:r w:rsidR="005325E4" w:rsidRPr="00C64572">
        <w:t xml:space="preserve"> </w:t>
      </w:r>
      <w:r w:rsidRPr="00C64572">
        <w:t>than the percentage of the male population receiving a bonus (</w:t>
      </w:r>
      <w:r w:rsidR="001371BA" w:rsidRPr="00C64572">
        <w:t>5.83</w:t>
      </w:r>
      <w:r w:rsidRPr="00C64572">
        <w:t xml:space="preserve">%).  </w:t>
      </w:r>
      <w:r w:rsidR="005325E4" w:rsidRPr="00C64572">
        <w:t>T</w:t>
      </w:r>
      <w:r w:rsidR="00296EA4" w:rsidRPr="00C64572">
        <w:t>he average amount of bonus which males receive is greater and this, again, reflects the gender split across the senior roles.</w:t>
      </w:r>
    </w:p>
    <w:p w14:paraId="2F3819EA" w14:textId="011902A9" w:rsidR="009B0CAB" w:rsidRPr="009B0CAB" w:rsidRDefault="00681DD7" w:rsidP="00A80A48">
      <w:pPr>
        <w:pStyle w:val="Body"/>
      </w:pPr>
      <w:r>
        <w:t>Thomas Tunnock Limited</w:t>
      </w:r>
      <w:r w:rsidR="009B0CAB" w:rsidRPr="009B0CAB">
        <w:t xml:space="preserve"> is committed to addressing the under-representation of women in its wor</w:t>
      </w:r>
      <w:r w:rsidR="004C690A">
        <w:t>kforce in those roles which are</w:t>
      </w:r>
      <w:r w:rsidR="009B0CAB" w:rsidRPr="009B0CAB">
        <w:t xml:space="preserve"> male dominated</w:t>
      </w:r>
      <w:r>
        <w:t xml:space="preserve"> including management, engineering and maintenance roles</w:t>
      </w:r>
      <w:r w:rsidR="009B0CAB" w:rsidRPr="009B0CAB">
        <w:t xml:space="preserve">.  </w:t>
      </w:r>
      <w:r w:rsidR="004C690A">
        <w:t>We are</w:t>
      </w:r>
      <w:r w:rsidR="009B0CAB" w:rsidRPr="009B0CAB">
        <w:t xml:space="preserve"> </w:t>
      </w:r>
      <w:r w:rsidR="0084634E">
        <w:t>continuing to look at</w:t>
      </w:r>
      <w:r>
        <w:t xml:space="preserve"> steps </w:t>
      </w:r>
      <w:r w:rsidR="004C690A">
        <w:t>which can be taken</w:t>
      </w:r>
      <w:r>
        <w:t xml:space="preserve"> to</w:t>
      </w:r>
      <w:r w:rsidR="004C690A">
        <w:t xml:space="preserve"> attract more women into these roles</w:t>
      </w:r>
      <w:r w:rsidR="009B0CAB" w:rsidRPr="009B0CAB">
        <w:t xml:space="preserve">. </w:t>
      </w:r>
    </w:p>
    <w:p w14:paraId="1646F895" w14:textId="40599514" w:rsidR="009B0CAB" w:rsidRPr="00A80A48" w:rsidRDefault="00933105" w:rsidP="00A80A48">
      <w:pPr>
        <w:pStyle w:val="Body"/>
        <w:rPr>
          <w:color w:val="C00000"/>
        </w:rPr>
      </w:pPr>
      <w:r w:rsidRPr="00A80A48">
        <w:rPr>
          <w:color w:val="C00000"/>
        </w:rPr>
        <w:t>Gender Pay Gap Statistics</w:t>
      </w:r>
    </w:p>
    <w:p w14:paraId="3BBB260D" w14:textId="6EC43D83" w:rsidR="00933105" w:rsidRDefault="005325E4" w:rsidP="004E01C5">
      <w:pPr>
        <w:pStyle w:val="Body"/>
      </w:pPr>
      <w:r>
        <w:t>C</w:t>
      </w:r>
      <w:r w:rsidR="00933105" w:rsidRPr="00933105">
        <w:t>ompanies are required to annual</w:t>
      </w:r>
      <w:r w:rsidR="00933105">
        <w:t xml:space="preserve">ly disclose a number of </w:t>
      </w:r>
      <w:r w:rsidR="00933105" w:rsidRPr="00933105">
        <w:t xml:space="preserve">Bonus and Gender Pay Gap Statistics.  </w:t>
      </w:r>
      <w:r w:rsidR="00933105">
        <w:t>The</w:t>
      </w:r>
      <w:r w:rsidR="00933105" w:rsidRPr="00933105">
        <w:t xml:space="preserve"> statistics for </w:t>
      </w:r>
      <w:r w:rsidR="00933105">
        <w:t xml:space="preserve">Thomas Tunnock Limited for </w:t>
      </w:r>
      <w:r w:rsidR="00933105" w:rsidRPr="00933105">
        <w:t>20</w:t>
      </w:r>
      <w:r w:rsidR="001371BA">
        <w:t>20</w:t>
      </w:r>
      <w:r w:rsidR="00933105" w:rsidRPr="00933105">
        <w:t xml:space="preserve"> are </w:t>
      </w:r>
      <w:r w:rsidR="00933105" w:rsidRPr="00445856">
        <w:t>contained in the following charts:</w:t>
      </w:r>
    </w:p>
    <w:p w14:paraId="7FEF4B70" w14:textId="77777777" w:rsidR="00C64572" w:rsidRDefault="00C64572" w:rsidP="004E01C5">
      <w:pPr>
        <w:pStyle w:val="Body"/>
        <w:rPr>
          <w:color w:val="C00000"/>
        </w:rPr>
      </w:pPr>
    </w:p>
    <w:p w14:paraId="11BCB835" w14:textId="77777777" w:rsidR="00C64572" w:rsidRDefault="00C64572" w:rsidP="004E01C5">
      <w:pPr>
        <w:pStyle w:val="Body"/>
        <w:rPr>
          <w:color w:val="C00000"/>
        </w:rPr>
      </w:pPr>
    </w:p>
    <w:p w14:paraId="094757A8" w14:textId="77777777" w:rsidR="00C64572" w:rsidRDefault="00C64572" w:rsidP="004E01C5">
      <w:pPr>
        <w:pStyle w:val="Body"/>
        <w:rPr>
          <w:color w:val="C00000"/>
        </w:rPr>
      </w:pPr>
    </w:p>
    <w:p w14:paraId="7978B8CE" w14:textId="0FF3711E" w:rsidR="00EC155D" w:rsidRPr="004E01C5" w:rsidRDefault="00EC155D" w:rsidP="004E01C5">
      <w:pPr>
        <w:pStyle w:val="Body"/>
        <w:rPr>
          <w:color w:val="C00000"/>
        </w:rPr>
      </w:pPr>
      <w:r w:rsidRPr="004E01C5">
        <w:rPr>
          <w:color w:val="C00000"/>
        </w:rPr>
        <w:t>Gender Pay Gap</w:t>
      </w:r>
    </w:p>
    <w:p w14:paraId="15AF83DC" w14:textId="5BA03198" w:rsidR="00933105" w:rsidRPr="00445856" w:rsidRDefault="00EC155D" w:rsidP="004E01C5">
      <w:pPr>
        <w:pStyle w:val="Body"/>
        <w:rPr>
          <w:noProof/>
          <w:color w:val="943634" w:themeColor="accent2" w:themeShade="BF"/>
        </w:rPr>
      </w:pPr>
      <w:r>
        <w:rPr>
          <w:noProof/>
        </w:rPr>
        <w:drawing>
          <wp:inline distT="0" distB="0" distL="0" distR="0" wp14:anchorId="7B4FF1C0" wp14:editId="7D3BC06E">
            <wp:extent cx="3124200" cy="1950720"/>
            <wp:effectExtent l="0" t="0" r="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CF12AB" w14:textId="34DBF029" w:rsidR="001371BA" w:rsidRPr="00202D6A" w:rsidRDefault="001371BA" w:rsidP="00FF3242">
      <w:pPr>
        <w:pStyle w:val="Body"/>
        <w:ind w:left="-851"/>
        <w:rPr>
          <w:rFonts w:asciiTheme="minorHAnsi" w:hAnsiTheme="minorHAnsi"/>
          <w:color w:val="C00000"/>
          <w:sz w:val="22"/>
          <w:szCs w:val="22"/>
        </w:rPr>
      </w:pPr>
    </w:p>
    <w:p w14:paraId="4BD3084B" w14:textId="0B35EAB5" w:rsidR="00C64572" w:rsidRPr="00C64572" w:rsidRDefault="00C64572" w:rsidP="004E01C5">
      <w:pPr>
        <w:pStyle w:val="Body"/>
        <w:rPr>
          <w:color w:val="C00000"/>
        </w:rPr>
      </w:pPr>
      <w:r w:rsidRPr="00C64572">
        <w:rPr>
          <w:color w:val="C00000"/>
        </w:rPr>
        <w:t>Bonus Gap</w:t>
      </w:r>
    </w:p>
    <w:p w14:paraId="09625F2C" w14:textId="1D4DC6DF" w:rsidR="00476F2B" w:rsidRDefault="00A80A48" w:rsidP="004E01C5">
      <w:pPr>
        <w:pStyle w:val="Body"/>
      </w:pPr>
      <w:r>
        <w:rPr>
          <w:noProof/>
        </w:rPr>
        <w:drawing>
          <wp:inline distT="0" distB="0" distL="0" distR="0" wp14:anchorId="735B8C7D" wp14:editId="1A299B70">
            <wp:extent cx="3413760" cy="1988820"/>
            <wp:effectExtent l="0" t="0" r="1524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E9E311" w14:textId="4E0FE800" w:rsidR="004F34AF" w:rsidRDefault="004F34AF" w:rsidP="00FF3242">
      <w:pPr>
        <w:pStyle w:val="Body"/>
        <w:ind w:left="-851"/>
        <w:rPr>
          <w:rFonts w:asciiTheme="minorHAnsi" w:hAnsiTheme="minorHAnsi"/>
          <w:sz w:val="22"/>
          <w:szCs w:val="22"/>
        </w:rPr>
      </w:pPr>
    </w:p>
    <w:p w14:paraId="10F7BE68" w14:textId="1EEE5F3E" w:rsidR="00E04C1A" w:rsidRDefault="00E04C1A" w:rsidP="00FF3242">
      <w:pPr>
        <w:pStyle w:val="Body"/>
        <w:ind w:left="-851"/>
        <w:rPr>
          <w:rFonts w:asciiTheme="minorHAnsi" w:hAnsiTheme="minorHAnsi"/>
          <w:color w:val="C00000"/>
          <w:sz w:val="22"/>
          <w:szCs w:val="22"/>
        </w:rPr>
      </w:pPr>
    </w:p>
    <w:p w14:paraId="11AF226A" w14:textId="5E37A39C" w:rsidR="008455DD" w:rsidRDefault="008455DD" w:rsidP="00FF3242">
      <w:pPr>
        <w:pStyle w:val="Body"/>
        <w:ind w:left="-851"/>
        <w:rPr>
          <w:rFonts w:asciiTheme="minorHAnsi" w:hAnsiTheme="minorHAnsi"/>
          <w:color w:val="C00000"/>
          <w:sz w:val="22"/>
          <w:szCs w:val="22"/>
        </w:rPr>
      </w:pPr>
    </w:p>
    <w:p w14:paraId="12007C3F" w14:textId="5FF454F1" w:rsidR="00476F2B" w:rsidRPr="00A80A48" w:rsidRDefault="00E04C1A" w:rsidP="00A80A48">
      <w:pPr>
        <w:pStyle w:val="Body"/>
        <w:keepNext/>
        <w:rPr>
          <w:color w:val="C00000"/>
        </w:rPr>
      </w:pPr>
      <w:r w:rsidRPr="00A80A48">
        <w:rPr>
          <w:color w:val="C00000"/>
        </w:rPr>
        <w:t>Proportion of male and female employees receiving a bonus</w:t>
      </w:r>
    </w:p>
    <w:p w14:paraId="3B6B7CE4" w14:textId="786D8833" w:rsidR="00E04C1A" w:rsidRPr="00E04C1A" w:rsidRDefault="00E04C1A" w:rsidP="00A80A48">
      <w:pPr>
        <w:pStyle w:val="Body"/>
      </w:pPr>
      <w:r>
        <w:rPr>
          <w:noProof/>
        </w:rPr>
        <w:drawing>
          <wp:inline distT="0" distB="0" distL="0" distR="0" wp14:anchorId="1D0F089C" wp14:editId="5CD1ECD6">
            <wp:extent cx="3888105" cy="2268220"/>
            <wp:effectExtent l="0" t="0" r="17145"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C803EC" w14:textId="405E6CAF" w:rsidR="00445856" w:rsidRPr="00A80A48" w:rsidRDefault="00445856" w:rsidP="00A80A48">
      <w:pPr>
        <w:pStyle w:val="Body"/>
        <w:keepNext/>
        <w:rPr>
          <w:color w:val="C00000"/>
        </w:rPr>
      </w:pPr>
      <w:r w:rsidRPr="00A80A48">
        <w:rPr>
          <w:color w:val="C00000"/>
        </w:rPr>
        <w:t>Proportion of employees in each quartile pay band</w:t>
      </w:r>
    </w:p>
    <w:p w14:paraId="4B885EDE" w14:textId="7230BB72" w:rsidR="00445856" w:rsidRPr="00F37676" w:rsidRDefault="00445856" w:rsidP="00A80A48">
      <w:pPr>
        <w:pStyle w:val="Body"/>
      </w:pPr>
      <w:r>
        <w:rPr>
          <w:noProof/>
        </w:rPr>
        <w:drawing>
          <wp:inline distT="0" distB="0" distL="0" distR="0" wp14:anchorId="793E37D8" wp14:editId="2F5B9CF5">
            <wp:extent cx="3964305" cy="2336800"/>
            <wp:effectExtent l="0" t="0" r="1714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1088D7" w14:textId="77777777" w:rsidR="00C64572" w:rsidRDefault="00C64572" w:rsidP="004E01C5">
      <w:pPr>
        <w:pStyle w:val="Body"/>
        <w:keepNext/>
        <w:rPr>
          <w:color w:val="C00000"/>
        </w:rPr>
      </w:pPr>
    </w:p>
    <w:p w14:paraId="724D33D2" w14:textId="77777777" w:rsidR="00C64572" w:rsidRDefault="00C64572" w:rsidP="004E01C5">
      <w:pPr>
        <w:pStyle w:val="Body"/>
        <w:keepNext/>
        <w:rPr>
          <w:color w:val="C00000"/>
        </w:rPr>
      </w:pPr>
    </w:p>
    <w:p w14:paraId="63C026A7" w14:textId="10FA6DA6" w:rsidR="00676B85" w:rsidRPr="004E01C5" w:rsidRDefault="00676B85" w:rsidP="004E01C5">
      <w:pPr>
        <w:pStyle w:val="Body"/>
        <w:keepNext/>
        <w:rPr>
          <w:color w:val="C00000"/>
        </w:rPr>
      </w:pPr>
      <w:r w:rsidRPr="004E01C5">
        <w:rPr>
          <w:color w:val="C00000"/>
        </w:rPr>
        <w:t xml:space="preserve">Taking action on </w:t>
      </w:r>
      <w:proofErr w:type="spellStart"/>
      <w:r w:rsidRPr="004E01C5">
        <w:rPr>
          <w:color w:val="C00000"/>
        </w:rPr>
        <w:t>Tunnock’s</w:t>
      </w:r>
      <w:proofErr w:type="spellEnd"/>
      <w:r w:rsidRPr="004E01C5">
        <w:rPr>
          <w:color w:val="C00000"/>
        </w:rPr>
        <w:t xml:space="preserve"> gender pay gap</w:t>
      </w:r>
    </w:p>
    <w:p w14:paraId="5D97C06A" w14:textId="77777777" w:rsidR="00676B85" w:rsidRPr="003D1C74" w:rsidRDefault="00676B85" w:rsidP="004E01C5">
      <w:pPr>
        <w:pStyle w:val="Body"/>
      </w:pPr>
      <w:r>
        <w:t>One of the key issues in addressing the gender pay gap is that we have long-serving staff and very low staff turnover.  This results in few vacancies arising at all levels but particularly in the senior roles.   In addition, when a vacancy arises in the engineering or maintenance teams, the vast majority of job applicants are male.  When vacancies do arise, we commit to trying as far as possible to have a gender balanced shortlist.</w:t>
      </w:r>
    </w:p>
    <w:p w14:paraId="21BD83FE" w14:textId="77777777" w:rsidR="00FF3242" w:rsidRDefault="00676B85" w:rsidP="004E01C5">
      <w:pPr>
        <w:pStyle w:val="Body"/>
      </w:pPr>
      <w:r>
        <w:t>Thomas Tunnock Limited</w:t>
      </w:r>
      <w:r w:rsidRPr="003D1C74">
        <w:t xml:space="preserve"> is committed to ensuring that </w:t>
      </w:r>
      <w:r>
        <w:t>the gender pay gap is narrowed and, in the meantime, ensuring</w:t>
      </w:r>
      <w:r w:rsidRPr="003D1C74">
        <w:t xml:space="preserve"> that all employees continue to be paid equally and fairly for the roles </w:t>
      </w:r>
      <w:r>
        <w:t>in which they work</w:t>
      </w:r>
      <w:r w:rsidRPr="003D1C74">
        <w:t>.</w:t>
      </w:r>
    </w:p>
    <w:p w14:paraId="1CC751DE" w14:textId="3129A396" w:rsidR="006D1CFF" w:rsidRPr="005A0BBA" w:rsidRDefault="006D1CFF" w:rsidP="005A0BBA">
      <w:pPr>
        <w:pStyle w:val="Body"/>
      </w:pPr>
      <w:r w:rsidRPr="005A0BBA">
        <w:t>I confirm that the data in this report has been calculated according to the requirements of the Equality Act 2010 (Gender Pay Gap Information) Regulations 2017.</w:t>
      </w:r>
    </w:p>
    <w:p w14:paraId="259C81C0" w14:textId="14200A5C" w:rsidR="006D1CFF" w:rsidRPr="005A0BBA" w:rsidRDefault="009369D1" w:rsidP="00C64572">
      <w:pPr>
        <w:pStyle w:val="Body"/>
        <w:spacing w:after="0"/>
      </w:pPr>
      <w:r>
        <w:t xml:space="preserve">Sir </w:t>
      </w:r>
      <w:r w:rsidR="00FD2E98" w:rsidRPr="005A0BBA">
        <w:t>Boyd Tunnock C.B.E.</w:t>
      </w:r>
    </w:p>
    <w:p w14:paraId="002A73E7" w14:textId="77777777" w:rsidR="008B3D70" w:rsidRPr="005A0BBA" w:rsidRDefault="00FD2E98" w:rsidP="00C64572">
      <w:pPr>
        <w:pStyle w:val="Body"/>
        <w:spacing w:after="0"/>
      </w:pPr>
      <w:r w:rsidRPr="005A0BBA">
        <w:t xml:space="preserve">Director </w:t>
      </w:r>
    </w:p>
    <w:sectPr w:rsidR="008B3D70" w:rsidRPr="005A0BBA" w:rsidSect="005A0BBA">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284" w:right="567" w:bottom="284" w:left="567" w:header="709" w:footer="709" w:gutter="0"/>
      <w:pgNumType w:start="1"/>
      <w:cols w:num="2" w:space="113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303A" w14:textId="77777777" w:rsidR="004905A6" w:rsidRPr="004D3114" w:rsidRDefault="004905A6" w:rsidP="004D3114">
      <w:r w:rsidRPr="004D3114">
        <w:separator/>
      </w:r>
    </w:p>
  </w:endnote>
  <w:endnote w:type="continuationSeparator" w:id="0">
    <w:p w14:paraId="3D290366" w14:textId="77777777" w:rsidR="004905A6" w:rsidRPr="004D3114" w:rsidRDefault="004905A6" w:rsidP="004D3114">
      <w:r w:rsidRPr="004D31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2 Regular">
    <w:altName w:val="Arial"/>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C6E6" w14:textId="77777777" w:rsidR="002547EB" w:rsidRDefault="00254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FF16" w14:textId="77777777" w:rsidR="00B67430" w:rsidRPr="004D3114" w:rsidRDefault="0054649C" w:rsidP="00CF1A66">
    <w:pPr>
      <w:pStyle w:val="Footer"/>
      <w:tabs>
        <w:tab w:val="clear" w:pos="4320"/>
        <w:tab w:val="clear" w:pos="8640"/>
        <w:tab w:val="center" w:pos="4253"/>
        <w:tab w:val="right" w:pos="8505"/>
      </w:tabs>
    </w:pPr>
    <w:r w:rsidRPr="004D3114">
      <w:tab/>
    </w:r>
    <w:r w:rsidR="005331C2">
      <w:fldChar w:fldCharType="begin"/>
    </w:r>
    <w:r w:rsidR="005331C2">
      <w:instrText xml:space="preserve">  PAGE \* MERGEFORMAT </w:instrText>
    </w:r>
    <w:r w:rsidR="005331C2">
      <w:fldChar w:fldCharType="separate"/>
    </w:r>
    <w:r w:rsidR="0036261C">
      <w:rPr>
        <w:noProof/>
      </w:rPr>
      <w:t>2</w:t>
    </w:r>
    <w:r w:rsidR="005331C2">
      <w:rPr>
        <w:noProof/>
      </w:rPr>
      <w:fldChar w:fldCharType="end"/>
    </w:r>
  </w:p>
  <w:p w14:paraId="0143AF36" w14:textId="77777777" w:rsidR="0083095A" w:rsidRDefault="0083095A"/>
  <w:p w14:paraId="1CA55148" w14:textId="77777777" w:rsidR="00884507" w:rsidRDefault="00884507">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6A86" w14:textId="77777777" w:rsidR="00884507" w:rsidRDefault="00884507">
    <w:pPr>
      <w:pStyle w:val="Footer"/>
    </w:pPr>
    <w:bookmarkStart w:id="1" w:name="FooterDiffFirstPage"/>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0654" w14:textId="77777777" w:rsidR="004905A6" w:rsidRPr="004D3114" w:rsidRDefault="004905A6" w:rsidP="004D3114">
      <w:r w:rsidRPr="004D3114">
        <w:separator/>
      </w:r>
    </w:p>
  </w:footnote>
  <w:footnote w:type="continuationSeparator" w:id="0">
    <w:p w14:paraId="1ED7C1D9" w14:textId="77777777" w:rsidR="004905A6" w:rsidRPr="004D3114" w:rsidRDefault="004905A6" w:rsidP="004D3114">
      <w:r w:rsidRPr="004D311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7C2E" w14:textId="77777777" w:rsidR="002547EB" w:rsidRDefault="00254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1CFE" w14:textId="77777777" w:rsidR="002547EB" w:rsidRDefault="00254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75EA" w14:textId="77777777" w:rsidR="00884507" w:rsidRDefault="00884507">
    <w:pPr>
      <w:pStyle w:val="Header"/>
    </w:pPr>
    <w:bookmarkStart w:id="0" w:name="HeaderDiffFirstPage"/>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1"/>
  </w:num>
  <w:num w:numId="10">
    <w:abstractNumId w:val="1"/>
  </w:num>
  <w:num w:numId="11">
    <w:abstractNumId w:val="4"/>
  </w:num>
  <w:num w:numId="12">
    <w:abstractNumId w:val="0"/>
  </w:num>
  <w:num w:numId="13">
    <w:abstractNumId w:val="4"/>
  </w:num>
  <w:num w:numId="14">
    <w:abstractNumId w:val="4"/>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78"/>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NumBodies" w:val="0"/>
    <w:docVar w:name="Level _NumBodies" w:val="6"/>
    <w:docVar w:name="PIM_Brand" w:val="9"/>
  </w:docVars>
  <w:rsids>
    <w:rsidRoot w:val="001F3E6E"/>
    <w:rsid w:val="00006847"/>
    <w:rsid w:val="00035E23"/>
    <w:rsid w:val="000422F7"/>
    <w:rsid w:val="000750D4"/>
    <w:rsid w:val="00075377"/>
    <w:rsid w:val="0009282A"/>
    <w:rsid w:val="00097C6A"/>
    <w:rsid w:val="000A6312"/>
    <w:rsid w:val="000B2B5E"/>
    <w:rsid w:val="000B4CAA"/>
    <w:rsid w:val="000D3625"/>
    <w:rsid w:val="000D3D3E"/>
    <w:rsid w:val="0012272A"/>
    <w:rsid w:val="001371BA"/>
    <w:rsid w:val="00166AE0"/>
    <w:rsid w:val="00171A7D"/>
    <w:rsid w:val="001767E4"/>
    <w:rsid w:val="001F3E6E"/>
    <w:rsid w:val="002015EA"/>
    <w:rsid w:val="00202D6A"/>
    <w:rsid w:val="0020781B"/>
    <w:rsid w:val="00226DFF"/>
    <w:rsid w:val="002547EB"/>
    <w:rsid w:val="00256473"/>
    <w:rsid w:val="002729EA"/>
    <w:rsid w:val="00284771"/>
    <w:rsid w:val="00296EA4"/>
    <w:rsid w:val="002B6116"/>
    <w:rsid w:val="002B6B1C"/>
    <w:rsid w:val="002D3B82"/>
    <w:rsid w:val="003068E5"/>
    <w:rsid w:val="00315D8A"/>
    <w:rsid w:val="00316ABF"/>
    <w:rsid w:val="0032297E"/>
    <w:rsid w:val="00361CE8"/>
    <w:rsid w:val="0036261C"/>
    <w:rsid w:val="0037498B"/>
    <w:rsid w:val="00382243"/>
    <w:rsid w:val="003A6DDA"/>
    <w:rsid w:val="003B5585"/>
    <w:rsid w:val="003D1C74"/>
    <w:rsid w:val="003D6E62"/>
    <w:rsid w:val="00440D5E"/>
    <w:rsid w:val="00445856"/>
    <w:rsid w:val="004576CE"/>
    <w:rsid w:val="00476F2B"/>
    <w:rsid w:val="00481053"/>
    <w:rsid w:val="004905A6"/>
    <w:rsid w:val="00497C60"/>
    <w:rsid w:val="004A0939"/>
    <w:rsid w:val="004A2D46"/>
    <w:rsid w:val="004C690A"/>
    <w:rsid w:val="004D3114"/>
    <w:rsid w:val="004D51BB"/>
    <w:rsid w:val="004E01C5"/>
    <w:rsid w:val="004F34AF"/>
    <w:rsid w:val="005325E4"/>
    <w:rsid w:val="005331C2"/>
    <w:rsid w:val="0054649C"/>
    <w:rsid w:val="00566434"/>
    <w:rsid w:val="005A0BBA"/>
    <w:rsid w:val="005A56F2"/>
    <w:rsid w:val="005E1CED"/>
    <w:rsid w:val="00603C56"/>
    <w:rsid w:val="00615536"/>
    <w:rsid w:val="00676B85"/>
    <w:rsid w:val="00681DD7"/>
    <w:rsid w:val="006A266D"/>
    <w:rsid w:val="006A2BBC"/>
    <w:rsid w:val="006B1629"/>
    <w:rsid w:val="006C1F84"/>
    <w:rsid w:val="006D1CFF"/>
    <w:rsid w:val="006E2B2D"/>
    <w:rsid w:val="00752448"/>
    <w:rsid w:val="007538C9"/>
    <w:rsid w:val="00785D4A"/>
    <w:rsid w:val="007A0D80"/>
    <w:rsid w:val="007D06AF"/>
    <w:rsid w:val="007F0895"/>
    <w:rsid w:val="008074C1"/>
    <w:rsid w:val="0083095A"/>
    <w:rsid w:val="00834675"/>
    <w:rsid w:val="008455DD"/>
    <w:rsid w:val="0084634E"/>
    <w:rsid w:val="0086642A"/>
    <w:rsid w:val="00881E0F"/>
    <w:rsid w:val="00884507"/>
    <w:rsid w:val="0088794E"/>
    <w:rsid w:val="008944D2"/>
    <w:rsid w:val="008B3D70"/>
    <w:rsid w:val="008D1613"/>
    <w:rsid w:val="008E6A69"/>
    <w:rsid w:val="009031ED"/>
    <w:rsid w:val="00916FC1"/>
    <w:rsid w:val="009218E0"/>
    <w:rsid w:val="00930CAC"/>
    <w:rsid w:val="00933105"/>
    <w:rsid w:val="009369D1"/>
    <w:rsid w:val="00940152"/>
    <w:rsid w:val="009647E1"/>
    <w:rsid w:val="009B0CAB"/>
    <w:rsid w:val="009B6341"/>
    <w:rsid w:val="009E6BA2"/>
    <w:rsid w:val="00A0015E"/>
    <w:rsid w:val="00A53B50"/>
    <w:rsid w:val="00A71E59"/>
    <w:rsid w:val="00A80A48"/>
    <w:rsid w:val="00AD0925"/>
    <w:rsid w:val="00AE7FF0"/>
    <w:rsid w:val="00B42373"/>
    <w:rsid w:val="00B67430"/>
    <w:rsid w:val="00BB3F50"/>
    <w:rsid w:val="00BC3745"/>
    <w:rsid w:val="00BC5F75"/>
    <w:rsid w:val="00BF658B"/>
    <w:rsid w:val="00C104A6"/>
    <w:rsid w:val="00C43164"/>
    <w:rsid w:val="00C642C2"/>
    <w:rsid w:val="00C64572"/>
    <w:rsid w:val="00CC0144"/>
    <w:rsid w:val="00CC2110"/>
    <w:rsid w:val="00CF1A66"/>
    <w:rsid w:val="00CF63A4"/>
    <w:rsid w:val="00D117BB"/>
    <w:rsid w:val="00D32D61"/>
    <w:rsid w:val="00D50A5A"/>
    <w:rsid w:val="00D71979"/>
    <w:rsid w:val="00D772F9"/>
    <w:rsid w:val="00E04C1A"/>
    <w:rsid w:val="00E06D93"/>
    <w:rsid w:val="00E30FEA"/>
    <w:rsid w:val="00E336E0"/>
    <w:rsid w:val="00E446B9"/>
    <w:rsid w:val="00E45120"/>
    <w:rsid w:val="00E516F9"/>
    <w:rsid w:val="00E562E2"/>
    <w:rsid w:val="00EC155D"/>
    <w:rsid w:val="00EC3E0A"/>
    <w:rsid w:val="00EC4920"/>
    <w:rsid w:val="00ED0141"/>
    <w:rsid w:val="00F37676"/>
    <w:rsid w:val="00F84EF4"/>
    <w:rsid w:val="00FA0EED"/>
    <w:rsid w:val="00FD2E98"/>
    <w:rsid w:val="00FF0433"/>
    <w:rsid w:val="00FF32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9C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60"/>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0C60"/>
    <w:pPr>
      <w:tabs>
        <w:tab w:val="center" w:pos="4320"/>
        <w:tab w:val="right" w:pos="8640"/>
      </w:tabs>
      <w:adjustRightInd/>
    </w:pPr>
    <w:rPr>
      <w:rFonts w:eastAsia="Times New Roman"/>
      <w:sz w:val="16"/>
    </w:rPr>
  </w:style>
  <w:style w:type="character" w:customStyle="1" w:styleId="FooterChar">
    <w:name w:val="Footer Char"/>
    <w:basedOn w:val="DefaultParagraphFont"/>
    <w:link w:val="Footer"/>
    <w:rsid w:val="00DF0C60"/>
    <w:rPr>
      <w:rFonts w:ascii="Arial" w:hAnsi="Arial" w:cs="Arial"/>
      <w:sz w:val="16"/>
    </w:rPr>
  </w:style>
  <w:style w:type="paragraph" w:styleId="Header">
    <w:name w:val="header"/>
    <w:basedOn w:val="Normal"/>
    <w:link w:val="HeaderChar"/>
    <w:uiPriority w:val="99"/>
    <w:rsid w:val="00DF0C60"/>
    <w:pPr>
      <w:tabs>
        <w:tab w:val="center" w:pos="4320"/>
        <w:tab w:val="right" w:pos="8640"/>
      </w:tabs>
      <w:adjustRightInd/>
    </w:pPr>
    <w:rPr>
      <w:rFonts w:eastAsia="Times New Roman"/>
      <w:sz w:val="16"/>
    </w:rPr>
  </w:style>
  <w:style w:type="character" w:customStyle="1" w:styleId="HeaderChar">
    <w:name w:val="Header Char"/>
    <w:basedOn w:val="DefaultParagraphFont"/>
    <w:link w:val="Header"/>
    <w:uiPriority w:val="99"/>
    <w:rsid w:val="00DF0C60"/>
    <w:rPr>
      <w:rFonts w:ascii="Arial" w:hAnsi="Arial" w:cs="Arial"/>
      <w:sz w:val="16"/>
    </w:rPr>
  </w:style>
  <w:style w:type="character" w:styleId="PageNumber">
    <w:name w:val="page number"/>
    <w:basedOn w:val="DefaultParagraphFont"/>
    <w:uiPriority w:val="99"/>
    <w:semiHidden/>
    <w:rPr>
      <w:rFonts w:ascii="Arial" w:hAnsi="Arial"/>
      <w:sz w:val="22"/>
    </w:rPr>
  </w:style>
  <w:style w:type="paragraph" w:styleId="FootnoteText">
    <w:name w:val="footnote text"/>
    <w:basedOn w:val="Normal"/>
    <w:link w:val="FootnoteTextChar"/>
    <w:semiHidden/>
    <w:rsid w:val="00DF0C60"/>
    <w:pPr>
      <w:adjustRightInd/>
    </w:pPr>
    <w:rPr>
      <w:rFonts w:eastAsia="Times New Roman"/>
      <w:sz w:val="16"/>
    </w:rPr>
  </w:style>
  <w:style w:type="character" w:customStyle="1" w:styleId="FootnoteTextChar">
    <w:name w:val="Footnote Text Char"/>
    <w:basedOn w:val="DefaultParagraphFont"/>
    <w:link w:val="FootnoteText"/>
    <w:semiHidden/>
    <w:rsid w:val="00DF0C60"/>
    <w:rPr>
      <w:rFonts w:ascii="Arial" w:hAnsi="Arial" w:cs="Arial"/>
      <w:sz w:val="16"/>
    </w:rPr>
  </w:style>
  <w:style w:type="character" w:styleId="FootnoteReference">
    <w:name w:val="footnote reference"/>
    <w:basedOn w:val="DefaultParagraphFont"/>
    <w:semiHidden/>
    <w:rsid w:val="00DF0C60"/>
    <w:rPr>
      <w:vertAlign w:val="superscript"/>
    </w:rPr>
  </w:style>
  <w:style w:type="character" w:styleId="Hyperlink">
    <w:name w:val="Hyperlink"/>
    <w:basedOn w:val="DefaultParagraphFont"/>
    <w:uiPriority w:val="99"/>
    <w:unhideWhenUsed/>
    <w:rsid w:val="00A4111F"/>
    <w:rPr>
      <w:color w:val="0000FF"/>
      <w:u w:val="single"/>
    </w:rPr>
  </w:style>
  <w:style w:type="paragraph" w:customStyle="1" w:styleId="Body">
    <w:name w:val="Body"/>
    <w:basedOn w:val="Normal"/>
    <w:uiPriority w:val="99"/>
    <w:rsid w:val="00DF0C60"/>
    <w:pPr>
      <w:spacing w:after="240"/>
    </w:pPr>
  </w:style>
  <w:style w:type="paragraph" w:customStyle="1" w:styleId="Body1">
    <w:name w:val="Body 1"/>
    <w:basedOn w:val="Body"/>
    <w:uiPriority w:val="99"/>
    <w:rsid w:val="00DF0C60"/>
    <w:pPr>
      <w:ind w:left="851"/>
    </w:pPr>
  </w:style>
  <w:style w:type="paragraph" w:customStyle="1" w:styleId="Level1">
    <w:name w:val="Level 1"/>
    <w:basedOn w:val="Body1"/>
    <w:uiPriority w:val="99"/>
    <w:rsid w:val="00DF0C60"/>
    <w:pPr>
      <w:numPr>
        <w:numId w:val="6"/>
      </w:numPr>
      <w:outlineLvl w:val="0"/>
    </w:pPr>
  </w:style>
  <w:style w:type="character" w:customStyle="1" w:styleId="Level1asHeadingtext">
    <w:name w:val="Level 1 as Heading (text)"/>
    <w:basedOn w:val="DefaultParagraphFont"/>
    <w:uiPriority w:val="99"/>
    <w:rsid w:val="00DF0C60"/>
    <w:rPr>
      <w:b/>
      <w:bCs/>
      <w:caps/>
    </w:rPr>
  </w:style>
  <w:style w:type="paragraph" w:customStyle="1" w:styleId="Body2">
    <w:name w:val="Body 2"/>
    <w:basedOn w:val="Body"/>
    <w:uiPriority w:val="99"/>
    <w:rsid w:val="00DF0C60"/>
    <w:pPr>
      <w:ind w:left="851"/>
    </w:pPr>
  </w:style>
  <w:style w:type="paragraph" w:customStyle="1" w:styleId="Level2">
    <w:name w:val="Level 2"/>
    <w:basedOn w:val="Body2"/>
    <w:uiPriority w:val="99"/>
    <w:rsid w:val="00DF0C60"/>
    <w:pPr>
      <w:numPr>
        <w:ilvl w:val="1"/>
        <w:numId w:val="6"/>
      </w:numPr>
      <w:outlineLvl w:val="1"/>
    </w:pPr>
  </w:style>
  <w:style w:type="character" w:customStyle="1" w:styleId="Level2asHeadingtext">
    <w:name w:val="Level 2 as Heading (text)"/>
    <w:basedOn w:val="DefaultParagraphFont"/>
    <w:uiPriority w:val="99"/>
    <w:rsid w:val="00DF0C60"/>
    <w:rPr>
      <w:b/>
      <w:bCs/>
    </w:rPr>
  </w:style>
  <w:style w:type="paragraph" w:customStyle="1" w:styleId="Body3">
    <w:name w:val="Body 3"/>
    <w:basedOn w:val="Body"/>
    <w:uiPriority w:val="99"/>
    <w:rsid w:val="00DF0C60"/>
    <w:pPr>
      <w:ind w:left="1702"/>
    </w:pPr>
  </w:style>
  <w:style w:type="paragraph" w:customStyle="1" w:styleId="Level3">
    <w:name w:val="Level 3"/>
    <w:basedOn w:val="Body3"/>
    <w:uiPriority w:val="99"/>
    <w:rsid w:val="00DF0C60"/>
    <w:pPr>
      <w:numPr>
        <w:ilvl w:val="2"/>
        <w:numId w:val="6"/>
      </w:numPr>
      <w:outlineLvl w:val="2"/>
    </w:pPr>
  </w:style>
  <w:style w:type="character" w:customStyle="1" w:styleId="Level3asHeadingtext">
    <w:name w:val="Level 3 as Heading (text)"/>
    <w:basedOn w:val="DefaultParagraphFont"/>
    <w:uiPriority w:val="99"/>
    <w:rsid w:val="00DF0C60"/>
    <w:rPr>
      <w:b/>
      <w:bCs/>
    </w:rPr>
  </w:style>
  <w:style w:type="paragraph" w:customStyle="1" w:styleId="Body4">
    <w:name w:val="Body 4"/>
    <w:basedOn w:val="Body"/>
    <w:uiPriority w:val="99"/>
    <w:rsid w:val="00DF0C60"/>
    <w:pPr>
      <w:ind w:left="2553"/>
    </w:pPr>
  </w:style>
  <w:style w:type="paragraph" w:customStyle="1" w:styleId="Level4">
    <w:name w:val="Level 4"/>
    <w:basedOn w:val="Body4"/>
    <w:uiPriority w:val="99"/>
    <w:rsid w:val="00DF0C60"/>
    <w:pPr>
      <w:numPr>
        <w:ilvl w:val="3"/>
        <w:numId w:val="6"/>
      </w:numPr>
      <w:outlineLvl w:val="3"/>
    </w:pPr>
  </w:style>
  <w:style w:type="paragraph" w:customStyle="1" w:styleId="Body5">
    <w:name w:val="Body 5"/>
    <w:basedOn w:val="Body"/>
    <w:uiPriority w:val="99"/>
    <w:rsid w:val="00DF0C60"/>
    <w:pPr>
      <w:ind w:left="3404"/>
    </w:pPr>
  </w:style>
  <w:style w:type="paragraph" w:customStyle="1" w:styleId="Level5">
    <w:name w:val="Level 5"/>
    <w:basedOn w:val="Body5"/>
    <w:uiPriority w:val="99"/>
    <w:rsid w:val="00DF0C60"/>
    <w:pPr>
      <w:numPr>
        <w:ilvl w:val="4"/>
        <w:numId w:val="6"/>
      </w:numPr>
      <w:outlineLvl w:val="4"/>
    </w:pPr>
  </w:style>
  <w:style w:type="paragraph" w:customStyle="1" w:styleId="Body6">
    <w:name w:val="Body 6"/>
    <w:basedOn w:val="Body"/>
    <w:uiPriority w:val="99"/>
    <w:rsid w:val="00DF0C60"/>
    <w:pPr>
      <w:ind w:left="4255"/>
    </w:pPr>
  </w:style>
  <w:style w:type="paragraph" w:customStyle="1" w:styleId="Level6">
    <w:name w:val="Level 6"/>
    <w:basedOn w:val="Body6"/>
    <w:uiPriority w:val="99"/>
    <w:rsid w:val="00DF0C60"/>
    <w:pPr>
      <w:numPr>
        <w:ilvl w:val="5"/>
        <w:numId w:val="6"/>
      </w:numPr>
      <w:outlineLvl w:val="5"/>
    </w:pPr>
  </w:style>
  <w:style w:type="paragraph" w:customStyle="1" w:styleId="Bullet1">
    <w:name w:val="Bullet 1"/>
    <w:basedOn w:val="Body"/>
    <w:uiPriority w:val="99"/>
    <w:rsid w:val="00DF0C60"/>
    <w:pPr>
      <w:numPr>
        <w:numId w:val="10"/>
      </w:numPr>
      <w:outlineLvl w:val="0"/>
    </w:pPr>
  </w:style>
  <w:style w:type="paragraph" w:customStyle="1" w:styleId="Bullet2">
    <w:name w:val="Bullet 2"/>
    <w:basedOn w:val="Body"/>
    <w:uiPriority w:val="99"/>
    <w:rsid w:val="00DF0C60"/>
    <w:pPr>
      <w:numPr>
        <w:ilvl w:val="1"/>
        <w:numId w:val="10"/>
      </w:numPr>
      <w:outlineLvl w:val="1"/>
    </w:pPr>
  </w:style>
  <w:style w:type="paragraph" w:customStyle="1" w:styleId="Bullet3">
    <w:name w:val="Bullet 3"/>
    <w:basedOn w:val="Body"/>
    <w:uiPriority w:val="99"/>
    <w:rsid w:val="00DF0C60"/>
    <w:pPr>
      <w:numPr>
        <w:ilvl w:val="2"/>
        <w:numId w:val="10"/>
      </w:numPr>
      <w:outlineLvl w:val="2"/>
    </w:pPr>
  </w:style>
  <w:style w:type="paragraph" w:customStyle="1" w:styleId="Bullet4">
    <w:name w:val="Bullet 4"/>
    <w:basedOn w:val="Body"/>
    <w:uiPriority w:val="99"/>
    <w:rsid w:val="00DF0C60"/>
    <w:pPr>
      <w:numPr>
        <w:ilvl w:val="3"/>
        <w:numId w:val="10"/>
      </w:numPr>
      <w:outlineLvl w:val="3"/>
    </w:pPr>
  </w:style>
  <w:style w:type="paragraph" w:customStyle="1" w:styleId="Appendix">
    <w:name w:val="Appendix #"/>
    <w:basedOn w:val="Body"/>
    <w:next w:val="SubHeading"/>
    <w:uiPriority w:val="99"/>
    <w:rsid w:val="00DF0C60"/>
    <w:pPr>
      <w:keepNext/>
      <w:keepLines/>
      <w:numPr>
        <w:ilvl w:val="1"/>
        <w:numId w:val="14"/>
      </w:numPr>
      <w:jc w:val="center"/>
    </w:pPr>
    <w:rPr>
      <w:b/>
      <w:bCs/>
    </w:rPr>
  </w:style>
  <w:style w:type="paragraph" w:customStyle="1" w:styleId="MainHeading">
    <w:name w:val="Main Heading"/>
    <w:basedOn w:val="Body"/>
    <w:uiPriority w:val="99"/>
    <w:rsid w:val="00DF0C60"/>
    <w:pPr>
      <w:keepNext/>
      <w:keepLines/>
      <w:numPr>
        <w:numId w:val="12"/>
      </w:numPr>
      <w:jc w:val="center"/>
      <w:outlineLvl w:val="0"/>
    </w:pPr>
    <w:rPr>
      <w:b/>
      <w:bCs/>
      <w:caps/>
      <w:sz w:val="24"/>
      <w:szCs w:val="24"/>
    </w:rPr>
  </w:style>
  <w:style w:type="paragraph" w:customStyle="1" w:styleId="Part">
    <w:name w:val="Part #"/>
    <w:basedOn w:val="Body"/>
    <w:next w:val="SubHeading"/>
    <w:uiPriority w:val="99"/>
    <w:rsid w:val="00DF0C60"/>
    <w:pPr>
      <w:keepNext/>
      <w:keepLines/>
      <w:numPr>
        <w:ilvl w:val="2"/>
        <w:numId w:val="14"/>
      </w:numPr>
      <w:jc w:val="center"/>
    </w:pPr>
  </w:style>
  <w:style w:type="paragraph" w:customStyle="1" w:styleId="Schedule">
    <w:name w:val="Schedule #"/>
    <w:basedOn w:val="Body"/>
    <w:next w:val="SubHeading"/>
    <w:uiPriority w:val="99"/>
    <w:rsid w:val="00DF0C60"/>
    <w:pPr>
      <w:keepNext/>
      <w:keepLines/>
      <w:numPr>
        <w:numId w:val="14"/>
      </w:numPr>
      <w:jc w:val="center"/>
    </w:pPr>
    <w:rPr>
      <w:b/>
      <w:bCs/>
    </w:rPr>
  </w:style>
  <w:style w:type="paragraph" w:customStyle="1" w:styleId="SubHeading">
    <w:name w:val="Sub Heading"/>
    <w:basedOn w:val="Body"/>
    <w:next w:val="Body"/>
    <w:uiPriority w:val="99"/>
    <w:rsid w:val="00DF0C60"/>
    <w:pPr>
      <w:keepNext/>
      <w:keepLines/>
      <w:numPr>
        <w:numId w:val="15"/>
      </w:numPr>
      <w:jc w:val="center"/>
    </w:pPr>
    <w:rPr>
      <w:b/>
      <w:bCs/>
      <w:caps/>
    </w:rPr>
  </w:style>
  <w:style w:type="paragraph" w:styleId="EndnoteText">
    <w:name w:val="endnote text"/>
    <w:basedOn w:val="Normal"/>
    <w:link w:val="EndnoteTextChar"/>
    <w:semiHidden/>
    <w:rsid w:val="00DF0C60"/>
    <w:pPr>
      <w:adjustRightInd/>
    </w:pPr>
    <w:rPr>
      <w:rFonts w:eastAsia="Times New Roman"/>
      <w:sz w:val="16"/>
    </w:rPr>
  </w:style>
  <w:style w:type="character" w:customStyle="1" w:styleId="EndnoteTextChar">
    <w:name w:val="Endnote Text Char"/>
    <w:basedOn w:val="DefaultParagraphFont"/>
    <w:link w:val="EndnoteText"/>
    <w:semiHidden/>
    <w:rsid w:val="00DF0C60"/>
    <w:rPr>
      <w:rFonts w:ascii="Arial" w:hAnsi="Arial" w:cs="Arial"/>
      <w:sz w:val="16"/>
    </w:rPr>
  </w:style>
  <w:style w:type="character" w:styleId="EndnoteReference">
    <w:name w:val="endnote reference"/>
    <w:basedOn w:val="DefaultParagraphFont"/>
    <w:semiHidden/>
    <w:rsid w:val="00DF0C60"/>
    <w:rPr>
      <w:vertAlign w:val="superscript"/>
    </w:rPr>
  </w:style>
  <w:style w:type="paragraph" w:styleId="TOC1">
    <w:name w:val="toc 1"/>
    <w:basedOn w:val="Normal"/>
    <w:next w:val="Normal"/>
    <w:uiPriority w:val="39"/>
    <w:rsid w:val="00DF0C60"/>
    <w:pPr>
      <w:tabs>
        <w:tab w:val="right" w:pos="8500"/>
      </w:tabs>
      <w:adjustRightInd/>
      <w:spacing w:after="240"/>
      <w:ind w:left="851" w:right="567" w:hanging="851"/>
    </w:pPr>
    <w:rPr>
      <w:rFonts w:eastAsia="Times New Roman"/>
      <w:caps/>
    </w:rPr>
  </w:style>
  <w:style w:type="paragraph" w:styleId="TOC2">
    <w:name w:val="toc 2"/>
    <w:basedOn w:val="TOC1"/>
    <w:next w:val="Normal"/>
    <w:rsid w:val="00DF0C60"/>
    <w:pPr>
      <w:ind w:left="1702"/>
    </w:pPr>
  </w:style>
  <w:style w:type="paragraph" w:styleId="TOC3">
    <w:name w:val="toc 3"/>
    <w:basedOn w:val="TOC1"/>
    <w:next w:val="Normal"/>
    <w:rsid w:val="00DF0C60"/>
    <w:pPr>
      <w:ind w:left="2552"/>
    </w:pPr>
  </w:style>
  <w:style w:type="paragraph" w:styleId="TOC4">
    <w:name w:val="toc 4"/>
    <w:basedOn w:val="TOC1"/>
    <w:next w:val="Normal"/>
    <w:uiPriority w:val="39"/>
    <w:rsid w:val="00DF0C60"/>
    <w:pPr>
      <w:ind w:left="0" w:firstLine="0"/>
    </w:pPr>
  </w:style>
  <w:style w:type="paragraph" w:styleId="TOC5">
    <w:name w:val="toc 5"/>
    <w:basedOn w:val="TOC1"/>
    <w:next w:val="Normal"/>
    <w:rsid w:val="00DF0C60"/>
    <w:pPr>
      <w:ind w:firstLine="0"/>
    </w:pPr>
  </w:style>
  <w:style w:type="paragraph" w:styleId="TOC6">
    <w:name w:val="toc 6"/>
    <w:basedOn w:val="TOC1"/>
    <w:next w:val="Normal"/>
    <w:rsid w:val="00DF0C60"/>
    <w:pPr>
      <w:ind w:left="1701" w:firstLine="0"/>
    </w:pPr>
  </w:style>
  <w:style w:type="character" w:customStyle="1" w:styleId="A2">
    <w:name w:val="A2"/>
    <w:uiPriority w:val="99"/>
    <w:rsid w:val="006D1CFF"/>
    <w:rPr>
      <w:rFonts w:cs="Bliss 2 Regular"/>
      <w:color w:val="000000"/>
      <w:sz w:val="19"/>
      <w:szCs w:val="19"/>
    </w:rPr>
  </w:style>
  <w:style w:type="paragraph" w:customStyle="1" w:styleId="Default">
    <w:name w:val="Default"/>
    <w:rsid w:val="00296EA4"/>
    <w:pPr>
      <w:autoSpaceDE w:val="0"/>
      <w:autoSpaceDN w:val="0"/>
      <w:adjustRightInd w:val="0"/>
    </w:pPr>
    <w:rPr>
      <w:rFonts w:ascii="Bliss 2 Regular" w:hAnsi="Bliss 2 Regular" w:cs="Bliss 2 Regular"/>
      <w:color w:val="000000"/>
      <w:sz w:val="24"/>
      <w:szCs w:val="24"/>
    </w:rPr>
  </w:style>
  <w:style w:type="paragraph" w:styleId="BalloonText">
    <w:name w:val="Balloon Text"/>
    <w:basedOn w:val="Normal"/>
    <w:link w:val="BalloonTextChar"/>
    <w:uiPriority w:val="99"/>
    <w:semiHidden/>
    <w:unhideWhenUsed/>
    <w:rsid w:val="00476F2B"/>
    <w:rPr>
      <w:rFonts w:ascii="Tahoma" w:hAnsi="Tahoma" w:cs="Tahoma"/>
      <w:sz w:val="16"/>
      <w:szCs w:val="16"/>
    </w:rPr>
  </w:style>
  <w:style w:type="character" w:customStyle="1" w:styleId="BalloonTextChar">
    <w:name w:val="Balloon Text Char"/>
    <w:basedOn w:val="DefaultParagraphFont"/>
    <w:link w:val="BalloonText"/>
    <w:uiPriority w:val="99"/>
    <w:semiHidden/>
    <w:rsid w:val="00476F2B"/>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679">
      <w:bodyDiv w:val="1"/>
      <w:marLeft w:val="0"/>
      <w:marRight w:val="0"/>
      <w:marTop w:val="0"/>
      <w:marBottom w:val="0"/>
      <w:divBdr>
        <w:top w:val="none" w:sz="0" w:space="0" w:color="auto"/>
        <w:left w:val="none" w:sz="0" w:space="0" w:color="auto"/>
        <w:bottom w:val="none" w:sz="0" w:space="0" w:color="auto"/>
        <w:right w:val="none" w:sz="0" w:space="0" w:color="auto"/>
      </w:divBdr>
    </w:div>
    <w:div w:id="234585162">
      <w:bodyDiv w:val="1"/>
      <w:marLeft w:val="0"/>
      <w:marRight w:val="0"/>
      <w:marTop w:val="0"/>
      <w:marBottom w:val="0"/>
      <w:divBdr>
        <w:top w:val="none" w:sz="0" w:space="0" w:color="auto"/>
        <w:left w:val="none" w:sz="0" w:space="0" w:color="auto"/>
        <w:bottom w:val="none" w:sz="0" w:space="0" w:color="auto"/>
        <w:right w:val="none" w:sz="0" w:space="0" w:color="auto"/>
      </w:divBdr>
    </w:div>
    <w:div w:id="5802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Blank%20A4%20Document.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Column1</c:v>
                </c:pt>
              </c:strCache>
            </c:strRef>
          </c:tx>
          <c:spPr>
            <a:solidFill>
              <a:schemeClr val="accent2">
                <a:lumMod val="75000"/>
              </a:schemeClr>
            </a:solidFill>
            <a:ln>
              <a:noFill/>
            </a:ln>
            <a:effectLst/>
          </c:spPr>
          <c:invertIfNegative val="0"/>
          <c:dLbls>
            <c:dLbl>
              <c:idx val="0"/>
              <c:tx>
                <c:rich>
                  <a:bodyPr rot="0" spcFirstLastPara="1" vertOverflow="ellipsis" vert="horz" wrap="square" lIns="38100" tIns="19050" rIns="38100" bIns="19050" anchor="ctr" anchorCtr="1">
                    <a:spAutoFit/>
                  </a:bodyPr>
                  <a:lstStyle/>
                  <a:p>
                    <a:pPr>
                      <a:defRPr sz="1200" b="0" i="0" u="none" strike="noStrike" kern="1200" baseline="0">
                        <a:solidFill>
                          <a:schemeClr val="accent2">
                            <a:lumMod val="75000"/>
                          </a:schemeClr>
                        </a:solidFill>
                        <a:latin typeface="+mn-lt"/>
                        <a:ea typeface="+mn-ea"/>
                        <a:cs typeface="+mn-cs"/>
                      </a:defRPr>
                    </a:pPr>
                    <a:r>
                      <a:rPr lang="en-US" sz="1200">
                        <a:solidFill>
                          <a:schemeClr val="accent2">
                            <a:lumMod val="75000"/>
                          </a:schemeClr>
                        </a:solidFill>
                      </a:rPr>
                      <a:t>25.26%</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2">
                          <a:lumMod val="7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F60-4677-ADF4-DA21ABCAECDC}"/>
                </c:ext>
              </c:extLst>
            </c:dLbl>
            <c:dLbl>
              <c:idx val="1"/>
              <c:tx>
                <c:rich>
                  <a:bodyPr/>
                  <a:lstStyle/>
                  <a:p>
                    <a:fld id="{D79CB255-BB00-4C92-B0AE-AC39BD3DFA3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F60-4677-ADF4-DA21ABCAECD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2">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Mean</c:v>
                </c:pt>
                <c:pt idx="1">
                  <c:v>Median</c:v>
                </c:pt>
              </c:strCache>
            </c:strRef>
          </c:cat>
          <c:val>
            <c:numRef>
              <c:f>Sheet1!$B$2:$B$3</c:f>
              <c:numCache>
                <c:formatCode>General</c:formatCode>
                <c:ptCount val="2"/>
                <c:pt idx="0">
                  <c:v>25.26</c:v>
                </c:pt>
                <c:pt idx="1">
                  <c:v>29.12</c:v>
                </c:pt>
              </c:numCache>
            </c:numRef>
          </c:val>
          <c:extLst>
            <c:ext xmlns:c16="http://schemas.microsoft.com/office/drawing/2014/chart" uri="{C3380CC4-5D6E-409C-BE32-E72D297353CC}">
              <c16:uniqueId val="{00000002-EF60-4677-ADF4-DA21ABCAECDC}"/>
            </c:ext>
          </c:extLst>
        </c:ser>
        <c:dLbls>
          <c:dLblPos val="outEnd"/>
          <c:showLegendKey val="0"/>
          <c:showVal val="1"/>
          <c:showCatName val="0"/>
          <c:showSerName val="0"/>
          <c:showPercent val="0"/>
          <c:showBubbleSize val="0"/>
        </c:dLbls>
        <c:gapWidth val="219"/>
        <c:overlap val="-27"/>
        <c:axId val="841643480"/>
        <c:axId val="841641512"/>
      </c:barChart>
      <c:catAx>
        <c:axId val="841643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641512"/>
        <c:crosses val="autoZero"/>
        <c:auto val="1"/>
        <c:lblAlgn val="ctr"/>
        <c:lblOffset val="100"/>
        <c:noMultiLvlLbl val="0"/>
      </c:catAx>
      <c:valAx>
        <c:axId val="841641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643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186783793133166E-2"/>
          <c:y val="0.15727883538633822"/>
          <c:w val="0.87088311658249973"/>
          <c:h val="0.58475147913341741"/>
        </c:manualLayout>
      </c:layout>
      <c:barChart>
        <c:barDir val="col"/>
        <c:grouping val="clustered"/>
        <c:varyColors val="0"/>
        <c:ser>
          <c:idx val="0"/>
          <c:order val="0"/>
          <c:tx>
            <c:strRef>
              <c:f>Sheet1!$B$1</c:f>
              <c:strCache>
                <c:ptCount val="1"/>
                <c:pt idx="0">
                  <c:v>Bonus Gap</c:v>
                </c:pt>
              </c:strCache>
            </c:strRef>
          </c:tx>
          <c:spPr>
            <a:solidFill>
              <a:schemeClr val="accent2">
                <a:lumMod val="75000"/>
              </a:schemeClr>
            </a:solidFill>
            <a:ln>
              <a:noFill/>
            </a:ln>
            <a:effectLst/>
          </c:spPr>
          <c:invertIfNegative val="0"/>
          <c:dLbls>
            <c:dLbl>
              <c:idx val="0"/>
              <c:tx>
                <c:rich>
                  <a:bodyPr/>
                  <a:lstStyle/>
                  <a:p>
                    <a:fld id="{2385D13E-3CA4-4210-951B-05B502D0ED6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938-45CD-9E6A-3624923CE955}"/>
                </c:ext>
              </c:extLst>
            </c:dLbl>
            <c:dLbl>
              <c:idx val="1"/>
              <c:layout>
                <c:manualLayout>
                  <c:x val="3.2663726931242854E-3"/>
                  <c:y val="0"/>
                </c:manualLayout>
              </c:layout>
              <c:tx>
                <c:rich>
                  <a:bodyPr/>
                  <a:lstStyle/>
                  <a:p>
                    <a:fld id="{240D9959-17D8-48C1-B8D1-62E2ADC39A8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938-45CD-9E6A-3624923CE95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2">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Mean</c:v>
                </c:pt>
                <c:pt idx="1">
                  <c:v>Median</c:v>
                </c:pt>
              </c:strCache>
            </c:strRef>
          </c:cat>
          <c:val>
            <c:numRef>
              <c:f>Sheet1!$B$2:$B$3</c:f>
              <c:numCache>
                <c:formatCode>General</c:formatCode>
                <c:ptCount val="2"/>
                <c:pt idx="0">
                  <c:v>87.25</c:v>
                </c:pt>
                <c:pt idx="1">
                  <c:v>62.2</c:v>
                </c:pt>
              </c:numCache>
            </c:numRef>
          </c:val>
          <c:extLst>
            <c:ext xmlns:c16="http://schemas.microsoft.com/office/drawing/2014/chart" uri="{C3380CC4-5D6E-409C-BE32-E72D297353CC}">
              <c16:uniqueId val="{00000002-E938-45CD-9E6A-3624923CE955}"/>
            </c:ext>
          </c:extLst>
        </c:ser>
        <c:dLbls>
          <c:showLegendKey val="0"/>
          <c:showVal val="0"/>
          <c:showCatName val="0"/>
          <c:showSerName val="0"/>
          <c:showPercent val="0"/>
          <c:showBubbleSize val="0"/>
        </c:dLbls>
        <c:gapWidth val="219"/>
        <c:overlap val="-27"/>
        <c:axId val="1087620976"/>
        <c:axId val="1087623600"/>
      </c:barChart>
      <c:catAx>
        <c:axId val="108762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7623600"/>
        <c:crosses val="autoZero"/>
        <c:auto val="1"/>
        <c:lblAlgn val="ctr"/>
        <c:lblOffset val="100"/>
        <c:noMultiLvlLbl val="0"/>
      </c:catAx>
      <c:valAx>
        <c:axId val="1087623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7620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spPr>
            <a:solidFill>
              <a:schemeClr val="accent2">
                <a:lumMod val="75000"/>
              </a:schemeClr>
            </a:solidFill>
            <a:ln>
              <a:noFill/>
            </a:ln>
            <a:effectLst/>
          </c:spPr>
          <c:invertIfNegative val="0"/>
          <c:dLbls>
            <c:dLbl>
              <c:idx val="0"/>
              <c:tx>
                <c:rich>
                  <a:bodyPr/>
                  <a:lstStyle/>
                  <a:p>
                    <a:fld id="{C2471367-0F20-4417-8001-544B61D9A7C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494-43DE-9B9C-F324EF317EA6}"/>
                </c:ext>
              </c:extLst>
            </c:dLbl>
            <c:dLbl>
              <c:idx val="1"/>
              <c:tx>
                <c:rich>
                  <a:bodyPr/>
                  <a:lstStyle/>
                  <a:p>
                    <a:fld id="{59A5116A-A535-42FC-8890-D7CC05F52BA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494-43DE-9B9C-F324EF317EA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2">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Male</c:v>
                </c:pt>
                <c:pt idx="1">
                  <c:v>Female</c:v>
                </c:pt>
              </c:strCache>
            </c:strRef>
          </c:cat>
          <c:val>
            <c:numRef>
              <c:f>Sheet1!$B$2:$B$3</c:f>
              <c:numCache>
                <c:formatCode>General</c:formatCode>
                <c:ptCount val="2"/>
                <c:pt idx="0">
                  <c:v>5.83</c:v>
                </c:pt>
                <c:pt idx="1">
                  <c:v>6.07</c:v>
                </c:pt>
              </c:numCache>
            </c:numRef>
          </c:val>
          <c:extLst>
            <c:ext xmlns:c16="http://schemas.microsoft.com/office/drawing/2014/chart" uri="{C3380CC4-5D6E-409C-BE32-E72D297353CC}">
              <c16:uniqueId val="{00000000-4494-43DE-9B9C-F324EF317EA6}"/>
            </c:ext>
          </c:extLst>
        </c:ser>
        <c:dLbls>
          <c:dLblPos val="outEnd"/>
          <c:showLegendKey val="0"/>
          <c:showVal val="1"/>
          <c:showCatName val="0"/>
          <c:showSerName val="0"/>
          <c:showPercent val="0"/>
          <c:showBubbleSize val="0"/>
        </c:dLbls>
        <c:gapWidth val="219"/>
        <c:overlap val="-27"/>
        <c:axId val="973104496"/>
        <c:axId val="973099904"/>
      </c:barChart>
      <c:catAx>
        <c:axId val="97310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099904"/>
        <c:crosses val="autoZero"/>
        <c:auto val="1"/>
        <c:lblAlgn val="ctr"/>
        <c:lblOffset val="100"/>
        <c:noMultiLvlLbl val="0"/>
      </c:catAx>
      <c:valAx>
        <c:axId val="973099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104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Male</c:v>
                </c:pt>
              </c:strCache>
            </c:strRef>
          </c:tx>
          <c:spPr>
            <a:solidFill>
              <a:schemeClr val="accent2">
                <a:lumMod val="50000"/>
              </a:schemeClr>
            </a:solidFill>
            <a:ln>
              <a:noFill/>
            </a:ln>
            <a:effectLst/>
          </c:spPr>
          <c:invertIfNegative val="0"/>
          <c:cat>
            <c:strRef>
              <c:f>Sheet1!$A$2:$A$6</c:f>
              <c:strCache>
                <c:ptCount val="4"/>
                <c:pt idx="0">
                  <c:v>Lower</c:v>
                </c:pt>
                <c:pt idx="1">
                  <c:v>Lower Middle</c:v>
                </c:pt>
                <c:pt idx="2">
                  <c:v>Upper Middle</c:v>
                </c:pt>
                <c:pt idx="3">
                  <c:v>Upper  </c:v>
                </c:pt>
              </c:strCache>
            </c:strRef>
          </c:cat>
          <c:val>
            <c:numRef>
              <c:f>Sheet1!$B$2:$B$6</c:f>
              <c:numCache>
                <c:formatCode>General</c:formatCode>
                <c:ptCount val="5"/>
                <c:pt idx="0">
                  <c:v>57.14</c:v>
                </c:pt>
                <c:pt idx="1">
                  <c:v>7.69</c:v>
                </c:pt>
                <c:pt idx="2">
                  <c:v>53.85</c:v>
                </c:pt>
                <c:pt idx="3">
                  <c:v>78.569999999999993</c:v>
                </c:pt>
              </c:numCache>
            </c:numRef>
          </c:val>
          <c:extLst>
            <c:ext xmlns:c16="http://schemas.microsoft.com/office/drawing/2014/chart" uri="{C3380CC4-5D6E-409C-BE32-E72D297353CC}">
              <c16:uniqueId val="{00000000-CBED-44A3-AD86-6F20CE813BB3}"/>
            </c:ext>
          </c:extLst>
        </c:ser>
        <c:ser>
          <c:idx val="1"/>
          <c:order val="1"/>
          <c:tx>
            <c:strRef>
              <c:f>Sheet1!$C$1</c:f>
              <c:strCache>
                <c:ptCount val="1"/>
                <c:pt idx="0">
                  <c:v>Female </c:v>
                </c:pt>
              </c:strCache>
            </c:strRef>
          </c:tx>
          <c:spPr>
            <a:solidFill>
              <a:schemeClr val="accent2"/>
            </a:solidFill>
            <a:ln>
              <a:noFill/>
            </a:ln>
            <a:effectLst/>
          </c:spPr>
          <c:invertIfNegative val="0"/>
          <c:cat>
            <c:strRef>
              <c:f>Sheet1!$A$2:$A$6</c:f>
              <c:strCache>
                <c:ptCount val="4"/>
                <c:pt idx="0">
                  <c:v>Lower</c:v>
                </c:pt>
                <c:pt idx="1">
                  <c:v>Lower Middle</c:v>
                </c:pt>
                <c:pt idx="2">
                  <c:v>Upper Middle</c:v>
                </c:pt>
                <c:pt idx="3">
                  <c:v>Upper  </c:v>
                </c:pt>
              </c:strCache>
            </c:strRef>
          </c:cat>
          <c:val>
            <c:numRef>
              <c:f>Sheet1!$C$2:$C$6</c:f>
              <c:numCache>
                <c:formatCode>General</c:formatCode>
                <c:ptCount val="5"/>
                <c:pt idx="0">
                  <c:v>42.86</c:v>
                </c:pt>
                <c:pt idx="1">
                  <c:v>92.31</c:v>
                </c:pt>
                <c:pt idx="2">
                  <c:v>46.15</c:v>
                </c:pt>
                <c:pt idx="3">
                  <c:v>21.43</c:v>
                </c:pt>
              </c:numCache>
            </c:numRef>
          </c:val>
          <c:extLst>
            <c:ext xmlns:c16="http://schemas.microsoft.com/office/drawing/2014/chart" uri="{C3380CC4-5D6E-409C-BE32-E72D297353CC}">
              <c16:uniqueId val="{00000001-CBED-44A3-AD86-6F20CE813BB3}"/>
            </c:ext>
          </c:extLst>
        </c:ser>
        <c:dLbls>
          <c:showLegendKey val="0"/>
          <c:showVal val="0"/>
          <c:showCatName val="0"/>
          <c:showSerName val="0"/>
          <c:showPercent val="0"/>
          <c:showBubbleSize val="0"/>
        </c:dLbls>
        <c:gapWidth val="219"/>
        <c:overlap val="-27"/>
        <c:axId val="1083748952"/>
        <c:axId val="1083753544"/>
      </c:barChart>
      <c:catAx>
        <c:axId val="1083748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3753544"/>
        <c:crosses val="autoZero"/>
        <c:auto val="1"/>
        <c:lblAlgn val="ctr"/>
        <c:lblOffset val="100"/>
        <c:noMultiLvlLbl val="0"/>
      </c:catAx>
      <c:valAx>
        <c:axId val="1083753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3748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 A C T I V E ! 1 2 6 8 2 6 0 0 1 . 1 < / d o c u m e n t i d >  
     < s e n d e r i d > G O H A G A N < / s e n d e r i d >  
     < s e n d e r e m a i l > G I L L I A N . R O S S @ P I N S E N T M A S O N S . C O M < / s e n d e r e m a i l >  
     < l a s t m o d i f i e d > 2 0 2 1 - 0 9 - 2 9 T 1 4 : 3 8 : 0 0 . 0 0 0 0 0 0 0 + 0 1 : 0 0 < / l a s t m o d i f i e d >  
     < d a t a b a s e > A C T I V E < / d a t a b a s e >  
 < / p r o p e r t i e s > 
</file>

<file path=customXml/itemProps1.xml><?xml version="1.0" encoding="utf-8"?>
<ds:datastoreItem xmlns:ds="http://schemas.openxmlformats.org/officeDocument/2006/customXml" ds:itemID="{13BD09C7-D363-4588-84F8-8E4665C37BF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 A4 Document</Template>
  <TotalTime>0</TotalTime>
  <Pages>2</Pages>
  <Words>517</Words>
  <Characters>2540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2021-10-01T09:00:00Z</dcterms:created>
  <dcterms:modified xsi:type="dcterms:W3CDTF">2021-10-01T09:00:00Z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126823482.1\TU0513</vt:lpwstr>
  </property>
  <property fmtid="{D5CDD505-2E9C-101B-9397-08002B2CF9AE}" pid="3" name="DocClass">
    <vt:lpwstr/>
  </property>
  <property fmtid="{D5CDD505-2E9C-101B-9397-08002B2CF9AE}" pid="4" name="ActionID">
    <vt:lpwstr>Blank</vt:lpwstr>
  </property>
  <property fmtid="{D5CDD505-2E9C-101B-9397-08002B2CF9AE}" pid="5" name="PrintMode">
    <vt:lpwstr>White</vt:lpwstr>
  </property>
  <property fmtid="{D5CDD505-2E9C-101B-9397-08002B2CF9AE}" pid="6" name="SD_TIM_Ran">
    <vt:lpwstr>True</vt:lpwstr>
  </property>
  <property fmtid="{D5CDD505-2E9C-101B-9397-08002B2CF9AE}" pid="7" name="Reference_src">
    <vt:lpwstr>{IMan.Number}.{IMan.Version}\{IMan.imProfileCustom1}</vt:lpwstr>
  </property>
  <property fmtid="{D5CDD505-2E9C-101B-9397-08002B2CF9AE}" pid="8" name="Company">
    <vt:lpwstr>Pinsent Masons LLP</vt:lpwstr>
  </property>
</Properties>
</file>